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09" w:rsidRPr="00506209" w:rsidRDefault="00506209" w:rsidP="00506209">
      <w:pPr>
        <w:bidi w:val="0"/>
        <w:rPr>
          <w:b/>
          <w:bCs/>
          <w:sz w:val="32"/>
          <w:szCs w:val="32"/>
        </w:rPr>
      </w:pPr>
      <w:r w:rsidRPr="00506209">
        <w:rPr>
          <w:b/>
          <w:bCs/>
          <w:sz w:val="32"/>
          <w:szCs w:val="32"/>
        </w:rPr>
        <w:t>Giardiasis</w:t>
      </w:r>
    </w:p>
    <w:p w:rsidR="00506209" w:rsidRPr="00506209" w:rsidRDefault="00506209" w:rsidP="00506209">
      <w:pPr>
        <w:bidi w:val="0"/>
        <w:rPr>
          <w:sz w:val="28"/>
          <w:szCs w:val="28"/>
        </w:rPr>
      </w:pPr>
      <w:r w:rsidRPr="00506209">
        <w:rPr>
          <w:i/>
          <w:iCs/>
          <w:sz w:val="28"/>
          <w:szCs w:val="28"/>
        </w:rPr>
        <w:t xml:space="preserve">         Giardia</w:t>
      </w:r>
      <w:r w:rsidRPr="00506209">
        <w:rPr>
          <w:sz w:val="28"/>
          <w:szCs w:val="28"/>
        </w:rPr>
        <w:t xml:space="preserve"> is a microscopic parasite that causes the diarrheal illness known as giardiasis. </w:t>
      </w:r>
      <w:r w:rsidRPr="00506209">
        <w:rPr>
          <w:i/>
          <w:iCs/>
          <w:sz w:val="28"/>
          <w:szCs w:val="28"/>
        </w:rPr>
        <w:t>Giardia</w:t>
      </w:r>
      <w:r w:rsidRPr="00506209">
        <w:rPr>
          <w:sz w:val="28"/>
          <w:szCs w:val="28"/>
        </w:rPr>
        <w:t xml:space="preserve"> (also known as </w:t>
      </w:r>
      <w:r w:rsidRPr="00506209">
        <w:rPr>
          <w:i/>
          <w:iCs/>
          <w:sz w:val="28"/>
          <w:szCs w:val="28"/>
        </w:rPr>
        <w:t xml:space="preserve">Giardia </w:t>
      </w:r>
      <w:proofErr w:type="spellStart"/>
      <w:r w:rsidRPr="00506209">
        <w:rPr>
          <w:i/>
          <w:iCs/>
          <w:sz w:val="28"/>
          <w:szCs w:val="28"/>
        </w:rPr>
        <w:t>intestinalis</w:t>
      </w:r>
      <w:proofErr w:type="spellEnd"/>
      <w:r w:rsidRPr="00506209">
        <w:rPr>
          <w:sz w:val="28"/>
          <w:szCs w:val="28"/>
        </w:rPr>
        <w:t xml:space="preserve">, </w:t>
      </w:r>
      <w:r w:rsidRPr="00506209">
        <w:rPr>
          <w:i/>
          <w:iCs/>
          <w:sz w:val="28"/>
          <w:szCs w:val="28"/>
        </w:rPr>
        <w:t xml:space="preserve">Giardia </w:t>
      </w:r>
      <w:proofErr w:type="spellStart"/>
      <w:r w:rsidRPr="00506209">
        <w:rPr>
          <w:i/>
          <w:iCs/>
          <w:sz w:val="28"/>
          <w:szCs w:val="28"/>
        </w:rPr>
        <w:t>lamblia</w:t>
      </w:r>
      <w:proofErr w:type="spellEnd"/>
      <w:r w:rsidRPr="00506209">
        <w:rPr>
          <w:sz w:val="28"/>
          <w:szCs w:val="28"/>
        </w:rPr>
        <w:t xml:space="preserve">, or </w:t>
      </w:r>
      <w:r w:rsidRPr="00506209">
        <w:rPr>
          <w:i/>
          <w:iCs/>
          <w:sz w:val="28"/>
          <w:szCs w:val="28"/>
        </w:rPr>
        <w:t xml:space="preserve">Giardia </w:t>
      </w:r>
      <w:proofErr w:type="spellStart"/>
      <w:r w:rsidRPr="00506209">
        <w:rPr>
          <w:i/>
          <w:iCs/>
          <w:sz w:val="28"/>
          <w:szCs w:val="28"/>
        </w:rPr>
        <w:t>duodenalis</w:t>
      </w:r>
      <w:proofErr w:type="spellEnd"/>
      <w:r w:rsidRPr="00506209">
        <w:rPr>
          <w:sz w:val="28"/>
          <w:szCs w:val="28"/>
        </w:rPr>
        <w:t>) is found on in soil, food, or water that has been contaminated with feces from infected humans or animals.</w:t>
      </w:r>
    </w:p>
    <w:p w:rsidR="00506209" w:rsidRPr="00506209" w:rsidRDefault="00506209" w:rsidP="007506DD">
      <w:pPr>
        <w:bidi w:val="0"/>
        <w:rPr>
          <w:sz w:val="28"/>
          <w:szCs w:val="28"/>
          <w:rtl/>
          <w:lang w:bidi="ar-IQ"/>
        </w:rPr>
      </w:pPr>
      <w:r w:rsidRPr="00506209">
        <w:rPr>
          <w:i/>
          <w:iCs/>
          <w:sz w:val="28"/>
          <w:szCs w:val="28"/>
        </w:rPr>
        <w:t xml:space="preserve">       Giardia</w:t>
      </w:r>
      <w:r w:rsidRPr="00506209">
        <w:rPr>
          <w:sz w:val="28"/>
          <w:szCs w:val="28"/>
        </w:rPr>
        <w:t xml:space="preserve"> is protected by an outer shell that allows it to survive outside the body for long periods of time and makes it tolerant to chlorine disinfection. </w:t>
      </w:r>
      <w:proofErr w:type="gramStart"/>
      <w:r w:rsidR="007506DD">
        <w:rPr>
          <w:sz w:val="28"/>
          <w:szCs w:val="28"/>
        </w:rPr>
        <w:t>although</w:t>
      </w:r>
      <w:proofErr w:type="gramEnd"/>
      <w:r w:rsidRPr="00506209">
        <w:rPr>
          <w:sz w:val="28"/>
          <w:szCs w:val="28"/>
        </w:rPr>
        <w:t xml:space="preserve"> the parasite can be spread in different ways, water (drinking water and recreational</w:t>
      </w:r>
      <w:r w:rsidRPr="00506209">
        <w:rPr>
          <w:sz w:val="28"/>
          <w:szCs w:val="28"/>
          <w:rtl/>
          <w:lang w:bidi="ar-IQ"/>
        </w:rPr>
        <w:t>(المياه الترفيهية)</w:t>
      </w:r>
      <w:r w:rsidR="0005437C">
        <w:rPr>
          <w:rFonts w:hint="cs"/>
          <w:sz w:val="28"/>
          <w:szCs w:val="28"/>
          <w:rtl/>
          <w:lang w:bidi="ar-IQ"/>
        </w:rPr>
        <w:t xml:space="preserve"> </w:t>
      </w:r>
      <w:r w:rsidRPr="00506209">
        <w:rPr>
          <w:sz w:val="28"/>
          <w:szCs w:val="28"/>
        </w:rPr>
        <w:t xml:space="preserve"> water) is the most common method of transmission.</w:t>
      </w:r>
    </w:p>
    <w:p w:rsidR="00506209" w:rsidRPr="00506209" w:rsidRDefault="00506209" w:rsidP="00506209">
      <w:pPr>
        <w:bidi w:val="0"/>
        <w:rPr>
          <w:sz w:val="28"/>
          <w:szCs w:val="28"/>
          <w:lang w:bidi="ar-IQ"/>
        </w:rPr>
      </w:pPr>
      <w:r w:rsidRPr="00506209">
        <w:rPr>
          <w:b/>
          <w:bCs/>
          <w:sz w:val="28"/>
          <w:szCs w:val="28"/>
          <w:lang w:bidi="ar-IQ"/>
        </w:rPr>
        <w:t>Life Cycle:</w:t>
      </w:r>
    </w:p>
    <w:p w:rsidR="00506209" w:rsidRPr="00506209" w:rsidRDefault="00506209" w:rsidP="00506209">
      <w:pPr>
        <w:bidi w:val="0"/>
        <w:rPr>
          <w:sz w:val="28"/>
          <w:szCs w:val="28"/>
          <w:lang w:bidi="ar-IQ"/>
        </w:rPr>
      </w:pPr>
      <w:r w:rsidRPr="00506209">
        <w:rPr>
          <w:sz w:val="28"/>
          <w:szCs w:val="28"/>
          <w:lang w:bidi="ar-IQ"/>
        </w:rPr>
        <w:t xml:space="preserve">     Cysts are resistant forms and are responsible for transmission of giardiasis. Both cysts and </w:t>
      </w:r>
      <w:proofErr w:type="spellStart"/>
      <w:r w:rsidRPr="00506209">
        <w:rPr>
          <w:sz w:val="28"/>
          <w:szCs w:val="28"/>
          <w:lang w:bidi="ar-IQ"/>
        </w:rPr>
        <w:t>trophozoites</w:t>
      </w:r>
      <w:proofErr w:type="spellEnd"/>
      <w:r w:rsidRPr="00506209">
        <w:rPr>
          <w:sz w:val="28"/>
          <w:szCs w:val="28"/>
          <w:lang w:bidi="ar-IQ"/>
        </w:rPr>
        <w:t xml:space="preserve"> can be found in the feces (diagnostic stages</w:t>
      </w:r>
      <w:proofErr w:type="gramStart"/>
      <w:r w:rsidRPr="00506209">
        <w:rPr>
          <w:sz w:val="28"/>
          <w:szCs w:val="28"/>
          <w:lang w:bidi="ar-IQ"/>
        </w:rPr>
        <w:t>) .</w:t>
      </w:r>
      <w:proofErr w:type="gramEnd"/>
      <w:r w:rsidRPr="00506209">
        <w:rPr>
          <w:sz w:val="28"/>
          <w:szCs w:val="28"/>
          <w:lang w:bidi="ar-IQ"/>
        </w:rPr>
        <w:t xml:space="preserve"> The cysts are hardy and can survive several months in cold water. Infection occurs by the ingestion of cysts in contaminated water, food, or by the fecal-oral route (hands or fomites</w:t>
      </w:r>
      <w:proofErr w:type="gramStart"/>
      <w:r w:rsidRPr="00506209">
        <w:rPr>
          <w:sz w:val="28"/>
          <w:szCs w:val="28"/>
          <w:lang w:bidi="ar-IQ"/>
        </w:rPr>
        <w:t>) .</w:t>
      </w:r>
      <w:proofErr w:type="gramEnd"/>
      <w:r w:rsidRPr="00506209">
        <w:rPr>
          <w:sz w:val="28"/>
          <w:szCs w:val="28"/>
          <w:lang w:bidi="ar-IQ"/>
        </w:rPr>
        <w:t xml:space="preserve"> In the small intestine, </w:t>
      </w:r>
      <w:proofErr w:type="spellStart"/>
      <w:r w:rsidRPr="00506209">
        <w:rPr>
          <w:sz w:val="28"/>
          <w:szCs w:val="28"/>
          <w:lang w:bidi="ar-IQ"/>
        </w:rPr>
        <w:t>excystation</w:t>
      </w:r>
      <w:proofErr w:type="spellEnd"/>
      <w:r w:rsidRPr="00506209">
        <w:rPr>
          <w:sz w:val="28"/>
          <w:szCs w:val="28"/>
          <w:lang w:bidi="ar-IQ"/>
        </w:rPr>
        <w:t xml:space="preserve"> releases </w:t>
      </w:r>
      <w:proofErr w:type="spellStart"/>
      <w:r w:rsidRPr="00506209">
        <w:rPr>
          <w:sz w:val="28"/>
          <w:szCs w:val="28"/>
          <w:lang w:bidi="ar-IQ"/>
        </w:rPr>
        <w:t>trophozoites</w:t>
      </w:r>
      <w:proofErr w:type="spellEnd"/>
      <w:r w:rsidRPr="00506209">
        <w:rPr>
          <w:sz w:val="28"/>
          <w:szCs w:val="28"/>
          <w:lang w:bidi="ar-IQ"/>
        </w:rPr>
        <w:t xml:space="preserve"> (each cyst produces two </w:t>
      </w:r>
      <w:proofErr w:type="spellStart"/>
      <w:r w:rsidRPr="00506209">
        <w:rPr>
          <w:sz w:val="28"/>
          <w:szCs w:val="28"/>
          <w:lang w:bidi="ar-IQ"/>
        </w:rPr>
        <w:t>trophozoites</w:t>
      </w:r>
      <w:proofErr w:type="spellEnd"/>
      <w:proofErr w:type="gramStart"/>
      <w:r w:rsidRPr="00506209">
        <w:rPr>
          <w:sz w:val="28"/>
          <w:szCs w:val="28"/>
          <w:lang w:bidi="ar-IQ"/>
        </w:rPr>
        <w:t>) .</w:t>
      </w:r>
      <w:proofErr w:type="gramEnd"/>
      <w:r w:rsidRPr="00506209">
        <w:rPr>
          <w:sz w:val="28"/>
          <w:szCs w:val="28"/>
          <w:lang w:bidi="ar-IQ"/>
        </w:rPr>
        <w:t xml:space="preserve"> </w:t>
      </w:r>
      <w:proofErr w:type="spellStart"/>
      <w:r w:rsidRPr="00506209">
        <w:rPr>
          <w:sz w:val="28"/>
          <w:szCs w:val="28"/>
          <w:lang w:bidi="ar-IQ"/>
        </w:rPr>
        <w:t>Trophozoites</w:t>
      </w:r>
      <w:proofErr w:type="spellEnd"/>
      <w:r w:rsidRPr="00506209">
        <w:rPr>
          <w:sz w:val="28"/>
          <w:szCs w:val="28"/>
          <w:lang w:bidi="ar-IQ"/>
        </w:rPr>
        <w:t xml:space="preserve"> multiply by longitudinal binary fission, remaining in the lumen of the proximal small bowel where they can be free or attached to the mucosa by a ventral sucking </w:t>
      </w:r>
      <w:proofErr w:type="gramStart"/>
      <w:r w:rsidRPr="00506209">
        <w:rPr>
          <w:sz w:val="28"/>
          <w:szCs w:val="28"/>
          <w:lang w:bidi="ar-IQ"/>
        </w:rPr>
        <w:t>disk .</w:t>
      </w:r>
      <w:proofErr w:type="gramEnd"/>
      <w:r w:rsidRPr="00506209">
        <w:rPr>
          <w:sz w:val="28"/>
          <w:szCs w:val="28"/>
          <w:lang w:bidi="ar-IQ"/>
        </w:rPr>
        <w:t xml:space="preserve"> Encystation occurs as the parasites transit toward the colon. The cyst is the stage found most commonly in </w:t>
      </w:r>
      <w:proofErr w:type="spellStart"/>
      <w:r w:rsidRPr="00506209">
        <w:rPr>
          <w:sz w:val="28"/>
          <w:szCs w:val="28"/>
          <w:lang w:bidi="ar-IQ"/>
        </w:rPr>
        <w:t>non</w:t>
      </w:r>
      <w:r w:rsidR="001C4D90">
        <w:rPr>
          <w:sz w:val="28"/>
          <w:szCs w:val="28"/>
          <w:lang w:bidi="ar-IQ"/>
        </w:rPr>
        <w:t xml:space="preserve"> </w:t>
      </w:r>
      <w:r w:rsidRPr="00506209">
        <w:rPr>
          <w:sz w:val="28"/>
          <w:szCs w:val="28"/>
          <w:lang w:bidi="ar-IQ"/>
        </w:rPr>
        <w:t>diarrheal</w:t>
      </w:r>
      <w:proofErr w:type="spellEnd"/>
      <w:r w:rsidRPr="00506209">
        <w:rPr>
          <w:sz w:val="28"/>
          <w:szCs w:val="28"/>
          <w:lang w:bidi="ar-IQ"/>
        </w:rPr>
        <w:t xml:space="preserve"> </w:t>
      </w:r>
      <w:proofErr w:type="gramStart"/>
      <w:r w:rsidRPr="00506209">
        <w:rPr>
          <w:sz w:val="28"/>
          <w:szCs w:val="28"/>
          <w:lang w:bidi="ar-IQ"/>
        </w:rPr>
        <w:t>feces . </w:t>
      </w:r>
      <w:proofErr w:type="gramEnd"/>
      <w:r w:rsidRPr="00506209">
        <w:rPr>
          <w:sz w:val="28"/>
          <w:szCs w:val="28"/>
          <w:lang w:bidi="ar-IQ"/>
        </w:rPr>
        <w:t xml:space="preserve"> Because the cysts are infectious when passed in the stool or shortly afterward, person-to-person transmission is possible</w:t>
      </w:r>
      <w:r w:rsidR="00871807">
        <w:rPr>
          <w:sz w:val="28"/>
          <w:szCs w:val="28"/>
          <w:lang w:bidi="ar-IQ"/>
        </w:rPr>
        <w:t xml:space="preserve"> </w:t>
      </w:r>
      <w:r w:rsidR="009F098E">
        <w:rPr>
          <w:sz w:val="28"/>
          <w:szCs w:val="28"/>
          <w:lang w:bidi="ar-IQ"/>
        </w:rPr>
        <w:t xml:space="preserve">through fecal – oral </w:t>
      </w:r>
      <w:proofErr w:type="gramStart"/>
      <w:r w:rsidR="009F098E">
        <w:rPr>
          <w:sz w:val="28"/>
          <w:szCs w:val="28"/>
          <w:lang w:bidi="ar-IQ"/>
        </w:rPr>
        <w:t xml:space="preserve">route </w:t>
      </w:r>
      <w:r w:rsidR="00871807">
        <w:rPr>
          <w:sz w:val="28"/>
          <w:szCs w:val="28"/>
          <w:lang w:bidi="ar-IQ"/>
        </w:rPr>
        <w:t>.</w:t>
      </w:r>
      <w:proofErr w:type="gramEnd"/>
    </w:p>
    <w:p w:rsidR="00713977" w:rsidRPr="00506209" w:rsidRDefault="00506209" w:rsidP="00506209">
      <w:pPr>
        <w:bidi w:val="0"/>
        <w:rPr>
          <w:sz w:val="28"/>
          <w:szCs w:val="28"/>
          <w:lang w:bidi="ar-IQ"/>
        </w:rPr>
      </w:pPr>
      <w:r w:rsidRPr="00506209">
        <w:rPr>
          <w:noProof/>
          <w:sz w:val="28"/>
          <w:szCs w:val="28"/>
        </w:rPr>
        <w:lastRenderedPageBreak/>
        <w:drawing>
          <wp:inline distT="0" distB="0" distL="0" distR="0" wp14:anchorId="2BB56297" wp14:editId="689405C8">
            <wp:extent cx="5274310" cy="4262180"/>
            <wp:effectExtent l="0" t="0" r="2540" b="5080"/>
            <wp:docPr id="2050" name="Picture 2" descr="C:\Users\nono\Pictures\Giardia_Life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nono\Pictures\Giardia_LifeCyc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62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6209" w:rsidRPr="00506209" w:rsidRDefault="00506209" w:rsidP="00506209">
      <w:pPr>
        <w:bidi w:val="0"/>
        <w:rPr>
          <w:sz w:val="28"/>
          <w:szCs w:val="28"/>
          <w:lang w:bidi="ar-IQ"/>
        </w:rPr>
      </w:pPr>
      <w:r w:rsidRPr="00506209">
        <w:rPr>
          <w:b/>
          <w:bCs/>
          <w:sz w:val="28"/>
          <w:szCs w:val="28"/>
          <w:lang w:bidi="ar-IQ"/>
        </w:rPr>
        <w:t>Clinical Presentation</w:t>
      </w:r>
    </w:p>
    <w:p w:rsidR="00506209" w:rsidRPr="00506209" w:rsidRDefault="00506209" w:rsidP="00506209">
      <w:pPr>
        <w:bidi w:val="0"/>
        <w:rPr>
          <w:sz w:val="28"/>
          <w:szCs w:val="28"/>
          <w:rtl/>
          <w:lang w:bidi="ar-IQ"/>
        </w:rPr>
      </w:pPr>
      <w:r w:rsidRPr="00506209">
        <w:rPr>
          <w:sz w:val="28"/>
          <w:szCs w:val="28"/>
          <w:lang w:bidi="ar-IQ"/>
        </w:rPr>
        <w:t>The spectrum varies from asymptomatic carriage to severe diarrhea and malabsorption. Acute giardiasis develops after an incubation period of 1 to 14 days (average of 7 days) and usually lasts 1 to 3 weeks. Symptoms include diarrhea, abdominal pain, bloating, nausea, and vomiting. In chronic giardiasis the symptoms are recurrent and malabsorption and debilitation may occur.</w:t>
      </w:r>
    </w:p>
    <w:p w:rsidR="00506209" w:rsidRPr="00506209" w:rsidRDefault="00506209" w:rsidP="00506209">
      <w:pPr>
        <w:bidi w:val="0"/>
        <w:rPr>
          <w:sz w:val="28"/>
          <w:szCs w:val="28"/>
          <w:lang w:bidi="ar-IQ"/>
        </w:rPr>
      </w:pPr>
      <w:r w:rsidRPr="00506209">
        <w:rPr>
          <w:b/>
          <w:bCs/>
          <w:sz w:val="28"/>
          <w:szCs w:val="28"/>
          <w:lang w:bidi="ar-IQ"/>
        </w:rPr>
        <w:t>Laboratory Diagnosis</w:t>
      </w:r>
    </w:p>
    <w:p w:rsidR="00506209" w:rsidRPr="00506209" w:rsidRDefault="00506209" w:rsidP="00506209">
      <w:pPr>
        <w:bidi w:val="0"/>
        <w:rPr>
          <w:sz w:val="28"/>
          <w:szCs w:val="28"/>
          <w:rtl/>
          <w:lang w:bidi="ar-IQ"/>
        </w:rPr>
      </w:pPr>
      <w:r w:rsidRPr="00506209">
        <w:rPr>
          <w:sz w:val="28"/>
          <w:szCs w:val="28"/>
          <w:lang w:bidi="ar-IQ"/>
        </w:rPr>
        <w:t xml:space="preserve">       Giardiasis is diagnosed by the identification of cysts or / &amp; </w:t>
      </w:r>
      <w:proofErr w:type="spellStart"/>
      <w:r w:rsidRPr="00506209">
        <w:rPr>
          <w:sz w:val="28"/>
          <w:szCs w:val="28"/>
          <w:lang w:bidi="ar-IQ"/>
        </w:rPr>
        <w:t>trophozoites</w:t>
      </w:r>
      <w:proofErr w:type="spellEnd"/>
      <w:r w:rsidRPr="00506209">
        <w:rPr>
          <w:sz w:val="28"/>
          <w:szCs w:val="28"/>
          <w:lang w:bidi="ar-IQ"/>
        </w:rPr>
        <w:t xml:space="preserve"> in the feces,</w:t>
      </w:r>
    </w:p>
    <w:p w:rsidR="00202B01" w:rsidRDefault="00A45F1C" w:rsidP="00202B01">
      <w:pPr>
        <w:numPr>
          <w:ilvl w:val="0"/>
          <w:numId w:val="1"/>
        </w:numPr>
        <w:bidi w:val="0"/>
        <w:rPr>
          <w:sz w:val="28"/>
          <w:szCs w:val="28"/>
          <w:lang w:bidi="ar-IQ"/>
        </w:rPr>
      </w:pPr>
      <w:r w:rsidRPr="00506209">
        <w:rPr>
          <w:sz w:val="28"/>
          <w:szCs w:val="28"/>
          <w:lang w:bidi="ar-IQ"/>
        </w:rPr>
        <w:t xml:space="preserve"> </w:t>
      </w:r>
      <w:proofErr w:type="gramStart"/>
      <w:r w:rsidRPr="00506209">
        <w:rPr>
          <w:sz w:val="28"/>
          <w:szCs w:val="28"/>
          <w:lang w:bidi="ar-IQ"/>
        </w:rPr>
        <w:t>laboratory</w:t>
      </w:r>
      <w:proofErr w:type="gramEnd"/>
      <w:r w:rsidRPr="00506209">
        <w:rPr>
          <w:sz w:val="28"/>
          <w:szCs w:val="28"/>
          <w:lang w:bidi="ar-IQ"/>
        </w:rPr>
        <w:t xml:space="preserve"> diagnosis using</w:t>
      </w:r>
      <w:r w:rsidR="00423385">
        <w:rPr>
          <w:sz w:val="28"/>
          <w:szCs w:val="28"/>
          <w:lang w:bidi="ar-IQ"/>
        </w:rPr>
        <w:t xml:space="preserve"> :</w:t>
      </w:r>
      <w:r w:rsidRPr="00506209">
        <w:rPr>
          <w:sz w:val="28"/>
          <w:szCs w:val="28"/>
          <w:lang w:bidi="ar-IQ"/>
        </w:rPr>
        <w:t xml:space="preserve"> 1-</w:t>
      </w:r>
      <w:r w:rsidR="00202B01">
        <w:rPr>
          <w:sz w:val="28"/>
          <w:szCs w:val="28"/>
          <w:lang w:bidi="ar-IQ"/>
        </w:rPr>
        <w:t xml:space="preserve"> direct smears 2- </w:t>
      </w:r>
      <w:r w:rsidRPr="00506209">
        <w:rPr>
          <w:sz w:val="28"/>
          <w:szCs w:val="28"/>
          <w:lang w:bidi="ar-IQ"/>
        </w:rPr>
        <w:t xml:space="preserve">The use of concentration methods and 3- staining </w:t>
      </w:r>
      <w:proofErr w:type="spellStart"/>
      <w:r w:rsidRPr="00506209">
        <w:rPr>
          <w:sz w:val="28"/>
          <w:szCs w:val="28"/>
          <w:lang w:bidi="ar-IQ"/>
        </w:rPr>
        <w:t>trichrome</w:t>
      </w:r>
      <w:proofErr w:type="spellEnd"/>
      <w:r w:rsidRPr="00506209">
        <w:rPr>
          <w:sz w:val="28"/>
          <w:szCs w:val="28"/>
          <w:lang w:bidi="ar-IQ"/>
        </w:rPr>
        <w:t xml:space="preserve"> </w:t>
      </w:r>
      <w:proofErr w:type="spellStart"/>
      <w:r w:rsidRPr="00506209">
        <w:rPr>
          <w:sz w:val="28"/>
          <w:szCs w:val="28"/>
          <w:lang w:bidi="ar-IQ"/>
        </w:rPr>
        <w:t>hematoxylin</w:t>
      </w:r>
      <w:proofErr w:type="spellEnd"/>
      <w:r w:rsidRPr="00506209">
        <w:rPr>
          <w:sz w:val="28"/>
          <w:szCs w:val="28"/>
          <w:lang w:bidi="ar-IQ"/>
        </w:rPr>
        <w:t xml:space="preserve"> iron</w:t>
      </w:r>
      <w:r w:rsidR="00202B01">
        <w:rPr>
          <w:sz w:val="28"/>
          <w:szCs w:val="28"/>
          <w:lang w:bidi="ar-IQ"/>
        </w:rPr>
        <w:t>.</w:t>
      </w:r>
    </w:p>
    <w:p w:rsidR="00DB7501" w:rsidRPr="00506209" w:rsidRDefault="00A45F1C" w:rsidP="00202B01">
      <w:pPr>
        <w:bidi w:val="0"/>
        <w:ind w:left="720"/>
        <w:rPr>
          <w:sz w:val="28"/>
          <w:szCs w:val="28"/>
          <w:rtl/>
          <w:lang w:bidi="ar-IQ"/>
        </w:rPr>
      </w:pPr>
      <w:r w:rsidRPr="00506209">
        <w:rPr>
          <w:sz w:val="28"/>
          <w:szCs w:val="28"/>
          <w:lang w:bidi="ar-IQ"/>
        </w:rPr>
        <w:t xml:space="preserve"> Because </w:t>
      </w:r>
      <w:r w:rsidRPr="00506209">
        <w:rPr>
          <w:i/>
          <w:iCs/>
          <w:sz w:val="28"/>
          <w:szCs w:val="28"/>
          <w:lang w:bidi="ar-IQ"/>
        </w:rPr>
        <w:t>Giardia</w:t>
      </w:r>
      <w:r w:rsidRPr="00506209">
        <w:rPr>
          <w:sz w:val="28"/>
          <w:szCs w:val="28"/>
          <w:lang w:bidi="ar-IQ"/>
        </w:rPr>
        <w:t xml:space="preserve"> cysts can be excreted intermittently, multiple stool collections (i.e., three stool specimens collected on separate </w:t>
      </w:r>
      <w:r w:rsidRPr="00506209">
        <w:rPr>
          <w:sz w:val="28"/>
          <w:szCs w:val="28"/>
          <w:lang w:bidi="ar-IQ"/>
        </w:rPr>
        <w:lastRenderedPageBreak/>
        <w:t xml:space="preserve">days) increase test </w:t>
      </w:r>
      <w:proofErr w:type="gramStart"/>
      <w:r w:rsidRPr="00506209">
        <w:rPr>
          <w:sz w:val="28"/>
          <w:szCs w:val="28"/>
          <w:lang w:bidi="ar-IQ"/>
        </w:rPr>
        <w:t>sensitivity .</w:t>
      </w:r>
      <w:proofErr w:type="gramEnd"/>
      <w:r w:rsidRPr="00506209">
        <w:rPr>
          <w:sz w:val="28"/>
          <w:szCs w:val="28"/>
          <w:vertAlign w:val="superscript"/>
          <w:lang w:bidi="ar-IQ"/>
        </w:rPr>
        <w:t xml:space="preserve"> </w:t>
      </w:r>
      <w:proofErr w:type="gramStart"/>
      <w:r w:rsidRPr="00506209">
        <w:rPr>
          <w:sz w:val="28"/>
          <w:szCs w:val="28"/>
          <w:lang w:bidi="ar-IQ"/>
        </w:rPr>
        <w:t>because</w:t>
      </w:r>
      <w:proofErr w:type="gramEnd"/>
      <w:r w:rsidRPr="00506209">
        <w:rPr>
          <w:sz w:val="28"/>
          <w:szCs w:val="28"/>
          <w:lang w:bidi="ar-IQ"/>
        </w:rPr>
        <w:t xml:space="preserve"> variability in the concentration of organisms in the stool can make difficult to diagnose this infection. </w:t>
      </w:r>
    </w:p>
    <w:p w:rsidR="00DB7501" w:rsidRPr="00506209" w:rsidRDefault="00A45F1C" w:rsidP="00506209">
      <w:pPr>
        <w:numPr>
          <w:ilvl w:val="0"/>
          <w:numId w:val="1"/>
        </w:numPr>
        <w:bidi w:val="0"/>
        <w:rPr>
          <w:sz w:val="28"/>
          <w:szCs w:val="28"/>
          <w:rtl/>
          <w:lang w:bidi="ar-IQ"/>
        </w:rPr>
      </w:pPr>
      <w:proofErr w:type="gramStart"/>
      <w:r w:rsidRPr="00506209">
        <w:rPr>
          <w:sz w:val="28"/>
          <w:szCs w:val="28"/>
          <w:lang w:bidi="ar-IQ"/>
        </w:rPr>
        <w:t>fecal</w:t>
      </w:r>
      <w:proofErr w:type="gramEnd"/>
      <w:r w:rsidRPr="00506209">
        <w:rPr>
          <w:sz w:val="28"/>
          <w:szCs w:val="28"/>
          <w:lang w:bidi="ar-IQ"/>
        </w:rPr>
        <w:t xml:space="preserve"> immunoassays (antigen detection tests by enzyme immunoassays), and detection of parasites by immunofluorescence  that are more sensitive and specific should be used.</w:t>
      </w:r>
    </w:p>
    <w:p w:rsidR="00DB7501" w:rsidRPr="00506209" w:rsidRDefault="00A45F1C" w:rsidP="00506209">
      <w:pPr>
        <w:numPr>
          <w:ilvl w:val="0"/>
          <w:numId w:val="1"/>
        </w:numPr>
        <w:bidi w:val="0"/>
        <w:rPr>
          <w:sz w:val="28"/>
          <w:szCs w:val="28"/>
          <w:rtl/>
          <w:lang w:bidi="ar-IQ"/>
        </w:rPr>
      </w:pPr>
      <w:proofErr w:type="gramStart"/>
      <w:r w:rsidRPr="00506209">
        <w:rPr>
          <w:sz w:val="28"/>
          <w:szCs w:val="28"/>
          <w:lang w:bidi="ar-IQ"/>
        </w:rPr>
        <w:t>samples</w:t>
      </w:r>
      <w:proofErr w:type="gramEnd"/>
      <w:r w:rsidRPr="00506209">
        <w:rPr>
          <w:sz w:val="28"/>
          <w:szCs w:val="28"/>
          <w:lang w:bidi="ar-IQ"/>
        </w:rPr>
        <w:t xml:space="preserve"> of duodenal fluid (e.g., </w:t>
      </w:r>
      <w:proofErr w:type="spellStart"/>
      <w:r w:rsidRPr="00506209">
        <w:rPr>
          <w:sz w:val="28"/>
          <w:szCs w:val="28"/>
          <w:lang w:bidi="ar-IQ"/>
        </w:rPr>
        <w:t>Enterotest</w:t>
      </w:r>
      <w:proofErr w:type="spellEnd"/>
      <w:r w:rsidRPr="00506209">
        <w:rPr>
          <w:sz w:val="28"/>
          <w:szCs w:val="28"/>
          <w:lang w:bidi="ar-IQ"/>
        </w:rPr>
        <w:t xml:space="preserve">) or duodenal biopsy may demonstrate </w:t>
      </w:r>
      <w:proofErr w:type="spellStart"/>
      <w:r w:rsidRPr="00506209">
        <w:rPr>
          <w:sz w:val="28"/>
          <w:szCs w:val="28"/>
          <w:lang w:bidi="ar-IQ"/>
        </w:rPr>
        <w:t>trophozoites</w:t>
      </w:r>
      <w:proofErr w:type="spellEnd"/>
      <w:r w:rsidRPr="00506209">
        <w:rPr>
          <w:sz w:val="28"/>
          <w:szCs w:val="28"/>
          <w:lang w:bidi="ar-IQ"/>
        </w:rPr>
        <w:t>.</w:t>
      </w:r>
    </w:p>
    <w:p w:rsidR="00DB7501" w:rsidRPr="00506209" w:rsidRDefault="00A45F1C" w:rsidP="00506209">
      <w:pPr>
        <w:numPr>
          <w:ilvl w:val="0"/>
          <w:numId w:val="1"/>
        </w:numPr>
        <w:bidi w:val="0"/>
        <w:rPr>
          <w:sz w:val="28"/>
          <w:szCs w:val="28"/>
          <w:rtl/>
          <w:lang w:bidi="ar-IQ"/>
        </w:rPr>
      </w:pPr>
      <w:r w:rsidRPr="00506209">
        <w:rPr>
          <w:sz w:val="28"/>
          <w:szCs w:val="28"/>
          <w:lang w:bidi="ar-IQ"/>
        </w:rPr>
        <w:t xml:space="preserve">The molecular testing (e.g., polymerase chain reaction PCR) can be used to identify the subtypes of </w:t>
      </w:r>
      <w:r w:rsidRPr="00506209">
        <w:rPr>
          <w:i/>
          <w:iCs/>
          <w:sz w:val="28"/>
          <w:szCs w:val="28"/>
          <w:lang w:bidi="ar-IQ"/>
        </w:rPr>
        <w:t>Giardia</w:t>
      </w:r>
      <w:r w:rsidRPr="00506209">
        <w:rPr>
          <w:sz w:val="28"/>
          <w:szCs w:val="28"/>
          <w:lang w:bidi="ar-IQ"/>
        </w:rPr>
        <w:t>.</w:t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b/>
          <w:bCs/>
          <w:sz w:val="28"/>
          <w:szCs w:val="28"/>
          <w:lang w:bidi="ar-IQ"/>
        </w:rPr>
        <w:t xml:space="preserve">Treatment </w:t>
      </w:r>
    </w:p>
    <w:p w:rsid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b/>
          <w:bCs/>
          <w:sz w:val="28"/>
          <w:szCs w:val="28"/>
          <w:lang w:bidi="ar-IQ"/>
        </w:rPr>
        <w:t xml:space="preserve">       </w:t>
      </w:r>
      <w:r w:rsidRPr="00506209">
        <w:rPr>
          <w:sz w:val="28"/>
          <w:szCs w:val="28"/>
          <w:lang w:bidi="ar-IQ"/>
        </w:rPr>
        <w:t xml:space="preserve">Several prescription drugs are available to treat giardiasis including metronidazole and </w:t>
      </w:r>
      <w:proofErr w:type="spellStart"/>
      <w:r w:rsidRPr="00506209">
        <w:rPr>
          <w:sz w:val="28"/>
          <w:szCs w:val="28"/>
          <w:lang w:bidi="ar-IQ"/>
        </w:rPr>
        <w:t>tinidazole</w:t>
      </w:r>
      <w:proofErr w:type="spellEnd"/>
      <w:r w:rsidRPr="00506209">
        <w:rPr>
          <w:sz w:val="28"/>
          <w:szCs w:val="28"/>
          <w:lang w:bidi="ar-IQ"/>
        </w:rPr>
        <w:t xml:space="preserve">. </w:t>
      </w:r>
      <w:proofErr w:type="spellStart"/>
      <w:r w:rsidRPr="00506209">
        <w:rPr>
          <w:sz w:val="28"/>
          <w:szCs w:val="28"/>
          <w:lang w:bidi="ar-IQ"/>
        </w:rPr>
        <w:t>Nitazoxanide</w:t>
      </w:r>
      <w:proofErr w:type="spellEnd"/>
      <w:r w:rsidRPr="00506209">
        <w:rPr>
          <w:sz w:val="28"/>
          <w:szCs w:val="28"/>
          <w:lang w:bidi="ar-IQ"/>
        </w:rPr>
        <w:t xml:space="preserve"> has provided some encouraging results in the management of giardiasis in children.</w:t>
      </w:r>
    </w:p>
    <w:p w:rsidR="00A45F1C" w:rsidRDefault="00A45F1C" w:rsidP="00A45F1C">
      <w:pPr>
        <w:bidi w:val="0"/>
        <w:ind w:left="720"/>
        <w:rPr>
          <w:sz w:val="28"/>
          <w:szCs w:val="28"/>
          <w:lang w:bidi="ar-IQ"/>
        </w:rPr>
      </w:pPr>
    </w:p>
    <w:p w:rsidR="00A45F1C" w:rsidRPr="00506209" w:rsidRDefault="00A45F1C" w:rsidP="00A45F1C">
      <w:pPr>
        <w:bidi w:val="0"/>
        <w:ind w:left="720"/>
        <w:rPr>
          <w:sz w:val="28"/>
          <w:szCs w:val="28"/>
          <w:lang w:bidi="ar-IQ"/>
        </w:rPr>
      </w:pP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noProof/>
          <w:sz w:val="28"/>
          <w:szCs w:val="28"/>
        </w:rPr>
        <w:drawing>
          <wp:inline distT="0" distB="0" distL="0" distR="0" wp14:anchorId="11AEBC13" wp14:editId="7771E663">
            <wp:extent cx="4105275" cy="2476500"/>
            <wp:effectExtent l="0" t="0" r="9525" b="0"/>
            <wp:docPr id="3074" name="Picture 2" descr="C:\Users\nono\Pictures\troph_and_cy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nono\Pictures\troph_and_cys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678" cy="24791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06209">
        <w:rPr>
          <w:sz w:val="28"/>
          <w:szCs w:val="28"/>
          <w:lang w:bidi="ar-IQ"/>
        </w:rPr>
        <w:t xml:space="preserve">   </w:t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sz w:val="28"/>
          <w:szCs w:val="28"/>
          <w:lang w:bidi="ar-IQ"/>
        </w:rPr>
        <w:t>Cyst</w:t>
      </w:r>
      <w:r w:rsidR="00202B01">
        <w:rPr>
          <w:sz w:val="28"/>
          <w:szCs w:val="28"/>
          <w:lang w:bidi="ar-IQ"/>
        </w:rPr>
        <w:t xml:space="preserve"> </w:t>
      </w:r>
      <w:r w:rsidRPr="00506209">
        <w:rPr>
          <w:sz w:val="28"/>
          <w:szCs w:val="28"/>
          <w:lang w:bidi="ar-IQ"/>
        </w:rPr>
        <w:t xml:space="preserve">&amp; </w:t>
      </w:r>
      <w:proofErr w:type="spellStart"/>
      <w:r w:rsidRPr="00506209">
        <w:rPr>
          <w:sz w:val="28"/>
          <w:szCs w:val="28"/>
          <w:lang w:bidi="ar-IQ"/>
        </w:rPr>
        <w:t>trophozoite</w:t>
      </w:r>
      <w:proofErr w:type="spellEnd"/>
      <w:r w:rsidRPr="00506209">
        <w:rPr>
          <w:sz w:val="28"/>
          <w:szCs w:val="28"/>
          <w:lang w:bidi="ar-IQ"/>
        </w:rPr>
        <w:t xml:space="preserve"> of Giardia in wet mount</w:t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</w:p>
    <w:p w:rsidR="00506209" w:rsidRPr="00506209" w:rsidRDefault="00506209" w:rsidP="00506209">
      <w:pPr>
        <w:bidi w:val="0"/>
        <w:ind w:left="720"/>
        <w:rPr>
          <w:b/>
          <w:bCs/>
          <w:i/>
          <w:iCs/>
          <w:sz w:val="28"/>
          <w:szCs w:val="28"/>
          <w:lang w:bidi="ar-IQ"/>
        </w:rPr>
      </w:pPr>
      <w:r w:rsidRPr="00506209">
        <w:rPr>
          <w:noProof/>
          <w:sz w:val="28"/>
          <w:szCs w:val="28"/>
        </w:rPr>
        <w:lastRenderedPageBreak/>
        <w:drawing>
          <wp:inline distT="0" distB="0" distL="0" distR="0" wp14:anchorId="67A05AB9" wp14:editId="0DC567AB">
            <wp:extent cx="3686175" cy="2017090"/>
            <wp:effectExtent l="0" t="0" r="0" b="2540"/>
            <wp:docPr id="6146" name="Picture 2" descr="C:\Users\nono\Pictures\Giardia_cyst_wtm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nono\Pictures\Giardia_cyst_wtm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05" cy="20167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506209">
        <w:rPr>
          <w:sz w:val="28"/>
          <w:szCs w:val="28"/>
          <w:lang w:bidi="ar-IQ"/>
        </w:rPr>
        <w:t xml:space="preserve"> </w:t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b/>
          <w:bCs/>
          <w:i/>
          <w:iCs/>
          <w:sz w:val="28"/>
          <w:szCs w:val="28"/>
          <w:lang w:bidi="ar-IQ"/>
        </w:rPr>
        <w:t xml:space="preserve">Giardia </w:t>
      </w:r>
      <w:proofErr w:type="spellStart"/>
      <w:r w:rsidRPr="00506209">
        <w:rPr>
          <w:b/>
          <w:bCs/>
          <w:i/>
          <w:iCs/>
          <w:sz w:val="28"/>
          <w:szCs w:val="28"/>
          <w:lang w:bidi="ar-IQ"/>
        </w:rPr>
        <w:t>duodenalis</w:t>
      </w:r>
      <w:proofErr w:type="spellEnd"/>
      <w:r w:rsidRPr="00506209">
        <w:rPr>
          <w:b/>
          <w:bCs/>
          <w:i/>
          <w:iCs/>
          <w:sz w:val="28"/>
          <w:szCs w:val="28"/>
          <w:lang w:bidi="ar-IQ"/>
        </w:rPr>
        <w:t xml:space="preserve"> </w:t>
      </w:r>
      <w:r w:rsidRPr="00506209">
        <w:rPr>
          <w:b/>
          <w:bCs/>
          <w:sz w:val="28"/>
          <w:szCs w:val="28"/>
          <w:lang w:bidi="ar-IQ"/>
        </w:rPr>
        <w:t xml:space="preserve">cysts are oval to ellipsoid and measure 8-19 µm (average 10-14 µm). Mature cysts have 4 nuclei, while immature cysts have two. Nuclei and fibrils are visible in both iodine-stained wet mounts and </w:t>
      </w:r>
      <w:proofErr w:type="spellStart"/>
      <w:r w:rsidRPr="00506209">
        <w:rPr>
          <w:b/>
          <w:bCs/>
          <w:sz w:val="28"/>
          <w:szCs w:val="28"/>
          <w:lang w:bidi="ar-IQ"/>
        </w:rPr>
        <w:t>trichrome</w:t>
      </w:r>
      <w:proofErr w:type="spellEnd"/>
      <w:r w:rsidRPr="00506209">
        <w:rPr>
          <w:b/>
          <w:bCs/>
          <w:sz w:val="28"/>
          <w:szCs w:val="28"/>
          <w:lang w:bidi="ar-IQ"/>
        </w:rPr>
        <w:t>-stained smears</w:t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noProof/>
          <w:sz w:val="28"/>
          <w:szCs w:val="28"/>
        </w:rPr>
        <w:drawing>
          <wp:inline distT="0" distB="0" distL="0" distR="0" wp14:anchorId="6926B348" wp14:editId="0CB8B8C9">
            <wp:extent cx="3324225" cy="2808099"/>
            <wp:effectExtent l="0" t="0" r="0" b="0"/>
            <wp:docPr id="5122" name="Picture 2" descr="C:\Users\nono\Pictures\Giardia_troph_giem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nono\Pictures\Giardia_troph_giems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07" cy="2811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b/>
          <w:bCs/>
          <w:i/>
          <w:iCs/>
          <w:sz w:val="28"/>
          <w:szCs w:val="28"/>
          <w:lang w:bidi="ar-IQ"/>
        </w:rPr>
        <w:t xml:space="preserve">Giardia </w:t>
      </w:r>
      <w:proofErr w:type="spellStart"/>
      <w:proofErr w:type="gramStart"/>
      <w:r w:rsidRPr="00506209">
        <w:rPr>
          <w:b/>
          <w:bCs/>
          <w:i/>
          <w:iCs/>
          <w:sz w:val="28"/>
          <w:szCs w:val="28"/>
          <w:lang w:bidi="ar-IQ"/>
        </w:rPr>
        <w:t>duodenalis</w:t>
      </w:r>
      <w:proofErr w:type="spellEnd"/>
      <w:r w:rsidRPr="00506209">
        <w:rPr>
          <w:b/>
          <w:bCs/>
          <w:i/>
          <w:iCs/>
          <w:sz w:val="28"/>
          <w:szCs w:val="28"/>
          <w:lang w:bidi="ar-IQ"/>
        </w:rPr>
        <w:t xml:space="preserve"> </w:t>
      </w:r>
      <w:r w:rsidRPr="00506209">
        <w:rPr>
          <w:b/>
          <w:bCs/>
          <w:sz w:val="28"/>
          <w:szCs w:val="28"/>
          <w:lang w:bidi="ar-IQ"/>
        </w:rPr>
        <w:t> </w:t>
      </w:r>
      <w:proofErr w:type="spellStart"/>
      <w:r w:rsidRPr="00506209">
        <w:rPr>
          <w:b/>
          <w:bCs/>
          <w:sz w:val="28"/>
          <w:szCs w:val="28"/>
          <w:lang w:bidi="ar-IQ"/>
        </w:rPr>
        <w:t>trophoz</w:t>
      </w:r>
      <w:bookmarkStart w:id="0" w:name="_GoBack"/>
      <w:bookmarkEnd w:id="0"/>
      <w:r w:rsidRPr="00506209">
        <w:rPr>
          <w:b/>
          <w:bCs/>
          <w:sz w:val="28"/>
          <w:szCs w:val="28"/>
          <w:lang w:bidi="ar-IQ"/>
        </w:rPr>
        <w:t>oites</w:t>
      </w:r>
      <w:proofErr w:type="spellEnd"/>
      <w:proofErr w:type="gramEnd"/>
      <w:r w:rsidRPr="00506209">
        <w:rPr>
          <w:b/>
          <w:bCs/>
          <w:sz w:val="28"/>
          <w:szCs w:val="28"/>
          <w:lang w:bidi="ar-IQ"/>
        </w:rPr>
        <w:t xml:space="preserve"> in </w:t>
      </w:r>
      <w:proofErr w:type="spellStart"/>
      <w:r w:rsidRPr="00506209">
        <w:rPr>
          <w:b/>
          <w:bCs/>
          <w:sz w:val="28"/>
          <w:szCs w:val="28"/>
          <w:lang w:bidi="ar-IQ"/>
        </w:rPr>
        <w:t>Giemsa</w:t>
      </w:r>
      <w:proofErr w:type="spellEnd"/>
      <w:r w:rsidRPr="00506209">
        <w:rPr>
          <w:b/>
          <w:bCs/>
          <w:sz w:val="28"/>
          <w:szCs w:val="28"/>
          <w:lang w:bidi="ar-IQ"/>
        </w:rPr>
        <w:t xml:space="preserve"> stain are pear-shaped and measure 10-20 micrometers in length. In permanent, stained specimens, 2 large nuclei are usually visible. The sucking disks (used for attaching to the host’s mucosal epithelium), median bodies, and flagella (8) may also be seen.</w:t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noProof/>
          <w:sz w:val="28"/>
          <w:szCs w:val="28"/>
        </w:rPr>
        <w:lastRenderedPageBreak/>
        <w:drawing>
          <wp:inline distT="0" distB="0" distL="0" distR="0" wp14:anchorId="2595B284" wp14:editId="7AEE2DF8">
            <wp:extent cx="5274310" cy="2461345"/>
            <wp:effectExtent l="0" t="0" r="2540" b="0"/>
            <wp:docPr id="4098" name="Picture 2" descr="C:\Users\nono\Pictures\home_page_image_giar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nono\Pictures\home_page_image_giard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61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06209" w:rsidRPr="00506209" w:rsidRDefault="00506209" w:rsidP="00506209">
      <w:pPr>
        <w:bidi w:val="0"/>
        <w:ind w:left="720"/>
        <w:rPr>
          <w:sz w:val="28"/>
          <w:szCs w:val="28"/>
          <w:lang w:bidi="ar-IQ"/>
        </w:rPr>
      </w:pPr>
      <w:r w:rsidRPr="00506209">
        <w:rPr>
          <w:b/>
          <w:bCs/>
          <w:i/>
          <w:iCs/>
          <w:sz w:val="28"/>
          <w:szCs w:val="28"/>
          <w:lang w:bidi="ar-IQ"/>
        </w:rPr>
        <w:t>Left:</w:t>
      </w:r>
      <w:r w:rsidRPr="00506209">
        <w:rPr>
          <w:b/>
          <w:bCs/>
          <w:sz w:val="28"/>
          <w:szCs w:val="28"/>
          <w:lang w:bidi="ar-IQ"/>
        </w:rPr>
        <w:t xml:space="preserve"> G. </w:t>
      </w:r>
      <w:proofErr w:type="spellStart"/>
      <w:r w:rsidRPr="00506209">
        <w:rPr>
          <w:b/>
          <w:bCs/>
          <w:sz w:val="28"/>
          <w:szCs w:val="28"/>
          <w:lang w:bidi="ar-IQ"/>
        </w:rPr>
        <w:t>intestinalis</w:t>
      </w:r>
      <w:proofErr w:type="spellEnd"/>
      <w:r w:rsidRPr="00506209">
        <w:rPr>
          <w:b/>
          <w:bCs/>
          <w:sz w:val="28"/>
          <w:szCs w:val="28"/>
          <w:lang w:bidi="ar-IQ"/>
        </w:rPr>
        <w:t xml:space="preserve"> </w:t>
      </w:r>
      <w:proofErr w:type="spellStart"/>
      <w:r w:rsidRPr="00506209">
        <w:rPr>
          <w:b/>
          <w:bCs/>
          <w:i/>
          <w:iCs/>
          <w:sz w:val="28"/>
          <w:szCs w:val="28"/>
          <w:lang w:bidi="ar-IQ"/>
        </w:rPr>
        <w:t>trophozoites</w:t>
      </w:r>
      <w:proofErr w:type="spellEnd"/>
      <w:r w:rsidRPr="00506209">
        <w:rPr>
          <w:b/>
          <w:bCs/>
          <w:i/>
          <w:iCs/>
          <w:sz w:val="28"/>
          <w:szCs w:val="28"/>
          <w:lang w:bidi="ar-IQ"/>
        </w:rPr>
        <w:t xml:space="preserve"> in Kohn stain. Center:</w:t>
      </w:r>
      <w:r w:rsidRPr="00506209">
        <w:rPr>
          <w:b/>
          <w:bCs/>
          <w:sz w:val="28"/>
          <w:szCs w:val="28"/>
          <w:lang w:bidi="ar-IQ"/>
        </w:rPr>
        <w:t xml:space="preserve"> G. </w:t>
      </w:r>
      <w:proofErr w:type="spellStart"/>
      <w:r w:rsidRPr="00506209">
        <w:rPr>
          <w:b/>
          <w:bCs/>
          <w:sz w:val="28"/>
          <w:szCs w:val="28"/>
          <w:lang w:bidi="ar-IQ"/>
        </w:rPr>
        <w:t>intestinalis</w:t>
      </w:r>
      <w:proofErr w:type="spellEnd"/>
      <w:r w:rsidRPr="00506209">
        <w:rPr>
          <w:b/>
          <w:bCs/>
          <w:sz w:val="28"/>
          <w:szCs w:val="28"/>
          <w:lang w:bidi="ar-IQ"/>
        </w:rPr>
        <w:t xml:space="preserve"> </w:t>
      </w:r>
      <w:r w:rsidRPr="00506209">
        <w:rPr>
          <w:b/>
          <w:bCs/>
          <w:i/>
          <w:iCs/>
          <w:sz w:val="28"/>
          <w:szCs w:val="28"/>
          <w:lang w:bidi="ar-IQ"/>
        </w:rPr>
        <w:t xml:space="preserve">cyst stained with </w:t>
      </w:r>
      <w:proofErr w:type="spellStart"/>
      <w:r w:rsidRPr="00506209">
        <w:rPr>
          <w:b/>
          <w:bCs/>
          <w:i/>
          <w:iCs/>
          <w:sz w:val="28"/>
          <w:szCs w:val="28"/>
          <w:lang w:bidi="ar-IQ"/>
        </w:rPr>
        <w:t>trichrome</w:t>
      </w:r>
      <w:proofErr w:type="spellEnd"/>
      <w:r w:rsidRPr="00506209">
        <w:rPr>
          <w:b/>
          <w:bCs/>
          <w:i/>
          <w:iCs/>
          <w:sz w:val="28"/>
          <w:szCs w:val="28"/>
          <w:lang w:bidi="ar-IQ"/>
        </w:rPr>
        <w:t>. Right:</w:t>
      </w:r>
      <w:r w:rsidRPr="00506209">
        <w:rPr>
          <w:b/>
          <w:bCs/>
          <w:sz w:val="28"/>
          <w:szCs w:val="28"/>
          <w:lang w:bidi="ar-IQ"/>
        </w:rPr>
        <w:t xml:space="preserve"> G. </w:t>
      </w:r>
      <w:proofErr w:type="spellStart"/>
      <w:r w:rsidRPr="00506209">
        <w:rPr>
          <w:b/>
          <w:bCs/>
          <w:sz w:val="28"/>
          <w:szCs w:val="28"/>
          <w:lang w:bidi="ar-IQ"/>
        </w:rPr>
        <w:t>intestinalis</w:t>
      </w:r>
      <w:proofErr w:type="spellEnd"/>
      <w:r w:rsidRPr="00506209">
        <w:rPr>
          <w:b/>
          <w:bCs/>
          <w:sz w:val="28"/>
          <w:szCs w:val="28"/>
          <w:lang w:bidi="ar-IQ"/>
        </w:rPr>
        <w:t xml:space="preserve"> </w:t>
      </w:r>
      <w:r w:rsidRPr="00506209">
        <w:rPr>
          <w:b/>
          <w:bCs/>
          <w:i/>
          <w:iCs/>
          <w:sz w:val="28"/>
          <w:szCs w:val="28"/>
          <w:lang w:bidi="ar-IQ"/>
        </w:rPr>
        <w:t>in in vitro culture.</w:t>
      </w:r>
    </w:p>
    <w:p w:rsidR="00506209" w:rsidRPr="00506209" w:rsidRDefault="00506209" w:rsidP="00506209">
      <w:pPr>
        <w:bidi w:val="0"/>
        <w:ind w:left="720"/>
        <w:rPr>
          <w:lang w:bidi="ar-IQ"/>
        </w:rPr>
      </w:pPr>
    </w:p>
    <w:p w:rsidR="00506209" w:rsidRDefault="00506209" w:rsidP="00506209">
      <w:pPr>
        <w:bidi w:val="0"/>
        <w:ind w:left="720"/>
        <w:rPr>
          <w:lang w:bidi="ar-IQ"/>
        </w:rPr>
      </w:pPr>
    </w:p>
    <w:p w:rsidR="00506209" w:rsidRPr="00506209" w:rsidRDefault="00506209" w:rsidP="00506209">
      <w:pPr>
        <w:bidi w:val="0"/>
        <w:ind w:left="720"/>
        <w:rPr>
          <w:rtl/>
          <w:lang w:bidi="ar-IQ"/>
        </w:rPr>
      </w:pPr>
    </w:p>
    <w:p w:rsidR="00506209" w:rsidRDefault="00506209" w:rsidP="00506209">
      <w:pPr>
        <w:bidi w:val="0"/>
        <w:jc w:val="both"/>
        <w:rPr>
          <w:lang w:bidi="ar-IQ"/>
        </w:rPr>
      </w:pPr>
    </w:p>
    <w:sectPr w:rsidR="00506209" w:rsidSect="00CA14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60B0"/>
    <w:multiLevelType w:val="hybridMultilevel"/>
    <w:tmpl w:val="3B105DE2"/>
    <w:lvl w:ilvl="0" w:tplc="06B8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4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A2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F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2A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D48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E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09"/>
    <w:rsid w:val="0005437C"/>
    <w:rsid w:val="001C4D90"/>
    <w:rsid w:val="00202B01"/>
    <w:rsid w:val="00423385"/>
    <w:rsid w:val="00506209"/>
    <w:rsid w:val="007506DD"/>
    <w:rsid w:val="00871807"/>
    <w:rsid w:val="009F098E"/>
    <w:rsid w:val="00A45F1C"/>
    <w:rsid w:val="00C07F65"/>
    <w:rsid w:val="00CA14DF"/>
    <w:rsid w:val="00DB7501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2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2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62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processor</dc:creator>
  <cp:lastModifiedBy>nuha</cp:lastModifiedBy>
  <cp:revision>12</cp:revision>
  <dcterms:created xsi:type="dcterms:W3CDTF">2016-04-05T07:57:00Z</dcterms:created>
  <dcterms:modified xsi:type="dcterms:W3CDTF">2016-11-28T06:50:00Z</dcterms:modified>
</cp:coreProperties>
</file>